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7"/>
      </w:pPr>
    </w:p>
    <w:p/>
    <w:p>
      <w:pPr>
        <w:spacing w:before="223" w:line="218" w:lineRule="auto"/>
        <w:jc w:val="center"/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2"/>
          <w:szCs w:val="52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6"/>
          <w:szCs w:val="56"/>
          <w:lang w:eastAsia="zh-CN"/>
        </w:rPr>
        <w:t>东山镇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2"/>
          <w:szCs w:val="52"/>
          <w:lang w:eastAsia="zh-CN"/>
        </w:rPr>
        <w:t>中心卫生院</w:t>
      </w:r>
    </w:p>
    <w:p>
      <w:pPr>
        <w:spacing w:before="223" w:line="218" w:lineRule="auto"/>
        <w:jc w:val="center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7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7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1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7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color w:val="auto"/>
          <w:sz w:val="44"/>
          <w:szCs w:val="44"/>
          <w:lang w:eastAsia="zh-CN"/>
        </w:rPr>
        <w:t>东山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  <w:t>镇中心卫生院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spacing w:line="600" w:lineRule="exact"/>
        <w:ind w:firstLine="64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32"/>
          <w:szCs w:val="28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根据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eastAsia="zh-CN"/>
        </w:rPr>
        <w:t>华容县财政局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《关于开展20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23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年度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eastAsia="zh-CN"/>
        </w:rPr>
        <w:t>财政预算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支出绩效评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eastAsia="zh-CN"/>
        </w:rPr>
        <w:t>价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工作的通知》（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eastAsia="zh-CN"/>
        </w:rPr>
        <w:t>华财函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〔20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24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〕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103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</w:rPr>
        <w:t>号）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  <w:lang w:eastAsia="zh-CN"/>
        </w:rPr>
        <w:t>通过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</w:rPr>
        <w:t>对华容县卫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  <w:lang w:eastAsia="zh-CN"/>
        </w:rPr>
        <w:t>生健康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</w:rPr>
        <w:t>局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  <w:lang w:val="en-US" w:eastAsia="zh-CN"/>
        </w:rPr>
        <w:t>年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</w:rPr>
        <w:t>度部门整体支出开展绩效自评，现将情况汇报如下：</w:t>
      </w:r>
    </w:p>
    <w:p>
      <w:pPr>
        <w:pStyle w:val="7"/>
        <w:rPr>
          <w:rFonts w:hint="eastAsia" w:asciiTheme="minorEastAsia" w:hAnsiTheme="minorEastAsia" w:eastAsiaTheme="minorEastAsia" w:cstheme="minorEastAsia"/>
        </w:rPr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Theme="minorEastAsia" w:hAnsiTheme="minorEastAsia" w:eastAsiaTheme="minorEastAsia" w:cstheme="minorEastAsia"/>
          <w:b/>
          <w:bCs/>
          <w:spacing w:val="5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pacing w:val="5"/>
          <w:sz w:val="32"/>
          <w:szCs w:val="32"/>
        </w:rPr>
        <w:t>部门基本情况</w:t>
      </w:r>
    </w:p>
    <w:p>
      <w:pPr>
        <w:snapToGrid w:val="0"/>
        <w:spacing w:line="520" w:lineRule="exact"/>
        <w:ind w:firstLine="640" w:firstLineChars="200"/>
        <w:rPr>
          <w:rFonts w:hint="eastAsia" w:asciiTheme="minorEastAsia" w:hAnsiTheme="minorEastAsia" w:eastAsiaTheme="minorEastAsia" w:cstheme="minorEastAsia"/>
          <w:spacing w:val="5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东山镇中心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卫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生院</w:t>
      </w:r>
      <w:r>
        <w:rPr>
          <w:rFonts w:ascii="宋体" w:hAnsi="宋体" w:cs="宋体"/>
          <w:kern w:val="0"/>
          <w:sz w:val="32"/>
          <w:szCs w:val="32"/>
        </w:rPr>
        <w:t>是一所集医疗、预防保健、健康教育、康复为一体的综合性乡镇卫生服务机构</w:t>
      </w:r>
      <w:r>
        <w:rPr>
          <w:rFonts w:hint="eastAsia" w:ascii="宋体" w:hAnsi="宋体" w:cs="宋体"/>
          <w:kern w:val="0"/>
          <w:sz w:val="32"/>
          <w:szCs w:val="32"/>
        </w:rPr>
        <w:t>；</w:t>
      </w:r>
      <w:r>
        <w:rPr>
          <w:rFonts w:ascii="宋体" w:hAnsi="宋体" w:cs="宋体"/>
          <w:kern w:val="0"/>
          <w:sz w:val="32"/>
          <w:szCs w:val="32"/>
        </w:rPr>
        <w:t>中心卫生院下</w:t>
      </w:r>
      <w:r>
        <w:rPr>
          <w:rFonts w:hint="eastAsia" w:ascii="宋体" w:hAnsi="宋体" w:cs="宋体"/>
          <w:kern w:val="0"/>
          <w:sz w:val="32"/>
          <w:szCs w:val="32"/>
        </w:rPr>
        <w:t>设</w:t>
      </w:r>
      <w:r>
        <w:rPr>
          <w:rFonts w:hint="eastAsia" w:ascii="宋体" w:hAnsi="宋体" w:cs="宋体"/>
          <w:kern w:val="0"/>
          <w:sz w:val="32"/>
          <w:szCs w:val="32"/>
          <w:lang w:val="en-US" w:eastAsia="zh-CN"/>
        </w:rPr>
        <w:t>10个行政</w:t>
      </w:r>
      <w:r>
        <w:rPr>
          <w:rFonts w:hint="eastAsia" w:ascii="宋体" w:hAnsi="宋体" w:cs="宋体"/>
          <w:kern w:val="0"/>
          <w:sz w:val="32"/>
          <w:szCs w:val="32"/>
        </w:rPr>
        <w:t>村</w:t>
      </w:r>
      <w:r>
        <w:rPr>
          <w:rFonts w:ascii="宋体" w:hAnsi="宋体" w:cs="宋体"/>
          <w:kern w:val="0"/>
          <w:sz w:val="32"/>
          <w:szCs w:val="32"/>
        </w:rPr>
        <w:t>卫生</w:t>
      </w:r>
      <w:r>
        <w:rPr>
          <w:rFonts w:hint="eastAsia" w:ascii="宋体" w:hAnsi="宋体" w:cs="宋体"/>
          <w:kern w:val="0"/>
          <w:sz w:val="32"/>
          <w:szCs w:val="32"/>
        </w:rPr>
        <w:t>室</w:t>
      </w:r>
      <w:r>
        <w:rPr>
          <w:rFonts w:ascii="宋体" w:hAnsi="宋体" w:cs="宋体"/>
          <w:kern w:val="0"/>
          <w:sz w:val="32"/>
          <w:szCs w:val="32"/>
        </w:rPr>
        <w:t>，全镇人口</w:t>
      </w:r>
      <w:r>
        <w:rPr>
          <w:rFonts w:hint="eastAsia" w:ascii="宋体" w:hAnsi="宋体" w:cs="宋体"/>
          <w:kern w:val="0"/>
          <w:sz w:val="32"/>
          <w:szCs w:val="32"/>
        </w:rPr>
        <w:t>2.3</w:t>
      </w:r>
      <w:r>
        <w:rPr>
          <w:rFonts w:ascii="宋体" w:hAnsi="宋体" w:cs="宋体"/>
          <w:kern w:val="0"/>
          <w:sz w:val="32"/>
          <w:szCs w:val="32"/>
        </w:rPr>
        <w:t>万人，</w:t>
      </w:r>
      <w:r>
        <w:rPr>
          <w:rFonts w:hint="eastAsia" w:ascii="宋体" w:hAnsi="宋体"/>
          <w:sz w:val="32"/>
          <w:szCs w:val="32"/>
        </w:rPr>
        <w:t>涵盖周边洪山头、塔市驿两个乡镇，承担本辖区内服务人口量达</w:t>
      </w:r>
      <w:r>
        <w:rPr>
          <w:rFonts w:hint="eastAsia" w:ascii="宋体" w:hAnsi="宋体"/>
          <w:sz w:val="32"/>
          <w:szCs w:val="32"/>
          <w:lang w:val="en-US" w:eastAsia="zh-CN"/>
        </w:rPr>
        <w:t>7</w:t>
      </w:r>
      <w:r>
        <w:rPr>
          <w:rFonts w:hint="eastAsia" w:ascii="宋体" w:hAnsi="宋体"/>
          <w:sz w:val="32"/>
          <w:szCs w:val="32"/>
        </w:rPr>
        <w:t>万多人</w:t>
      </w:r>
      <w:r>
        <w:rPr>
          <w:rFonts w:ascii="宋体" w:hAnsi="宋体" w:cs="宋体"/>
          <w:kern w:val="0"/>
          <w:sz w:val="32"/>
          <w:szCs w:val="32"/>
        </w:rPr>
        <w:t>的</w:t>
      </w:r>
      <w:r>
        <w:rPr>
          <w:rFonts w:hint="eastAsia" w:ascii="宋体" w:hAnsi="宋体" w:cs="宋体"/>
          <w:kern w:val="0"/>
          <w:sz w:val="32"/>
          <w:szCs w:val="32"/>
        </w:rPr>
        <w:t>医</w:t>
      </w:r>
      <w:r>
        <w:rPr>
          <w:rFonts w:ascii="宋体" w:hAnsi="宋体" w:cs="宋体"/>
          <w:kern w:val="0"/>
          <w:sz w:val="32"/>
          <w:szCs w:val="32"/>
        </w:rPr>
        <w:t>疗</w:t>
      </w:r>
      <w:r>
        <w:rPr>
          <w:rFonts w:hint="eastAsia" w:ascii="宋体" w:hAnsi="宋体" w:cs="宋体"/>
          <w:kern w:val="0"/>
          <w:sz w:val="32"/>
          <w:szCs w:val="32"/>
        </w:rPr>
        <w:t>工作，</w:t>
      </w:r>
      <w:r>
        <w:rPr>
          <w:rFonts w:hint="eastAsia" w:ascii="宋体" w:hAnsi="宋体"/>
          <w:sz w:val="32"/>
          <w:szCs w:val="32"/>
        </w:rPr>
        <w:t>切实履行公共卫生职责，为人民身体健康提供医疗与预防保健服务。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系财政全额预算拨款单位。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年编制部门核实华容县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东山镇中心卫生院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卫生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院事业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编制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val="en-US" w:eastAsia="zh-CN"/>
        </w:rPr>
        <w:t>43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名，实有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事业编制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人员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32</w:t>
      </w:r>
      <w:r>
        <w:rPr>
          <w:rFonts w:hint="eastAsia" w:asciiTheme="minorEastAsia" w:hAnsiTheme="minorEastAsia" w:eastAsiaTheme="minorEastAsia" w:cstheme="minorEastAsia"/>
          <w:color w:val="auto"/>
          <w:sz w:val="32"/>
        </w:rPr>
        <w:t>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val="en-US" w:eastAsia="zh-CN"/>
        </w:rPr>
        <w:t>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val="en-US" w:eastAsia="zh-CN"/>
        </w:rPr>
        <w:t>镇中心卫生院单位内设机构包括：3个职能科室。医疗组、公卫组、行政后勤组。</w:t>
      </w:r>
    </w:p>
    <w:p>
      <w:pPr>
        <w:spacing w:before="216" w:line="226" w:lineRule="auto"/>
        <w:ind w:left="648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  <w:t>（一）基本支出情况</w:t>
      </w:r>
    </w:p>
    <w:p>
      <w:pPr>
        <w:spacing w:line="560" w:lineRule="exact"/>
        <w:ind w:firstLine="640" w:firstLineChars="200"/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年华容县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镇中心卫生院整体基本支出合计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1139.77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万元，主要是用于人员工资、社会保障缴费、临时工工资以及为保障医疗卫生机构正常运转、完成日常工作任务而发生的商品和服务支出。其中：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工资福利支出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580.67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；商品和服务支出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559.1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  <w:t>项目支出情况</w:t>
      </w:r>
    </w:p>
    <w:p>
      <w:pPr>
        <w:spacing w:line="560" w:lineRule="exact"/>
        <w:ind w:firstLine="640" w:firstLineChars="200"/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我部门项目资金按照年初预算的安排，按照月度与进度等安排资金落实，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年华容县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镇中心卫生院整体年初项目资金合计申报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109.71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万元，主要是用于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  <w:lang w:val="en-US" w:eastAsia="zh-CN"/>
        </w:rPr>
        <w:t>基本公共卫生服务、应急物质储备的支出。</w:t>
      </w:r>
    </w:p>
    <w:p>
      <w:pPr>
        <w:spacing w:before="224" w:line="227" w:lineRule="auto"/>
        <w:ind w:left="649"/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  <w:t>三、政府性基金预算支出情况</w:t>
      </w:r>
    </w:p>
    <w:p>
      <w:pPr>
        <w:spacing w:line="560" w:lineRule="exact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年华容县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镇中心卫院没有政府性基金预算财政拨款项目收入和支出。</w:t>
      </w:r>
    </w:p>
    <w:p>
      <w:pPr>
        <w:numPr>
          <w:ilvl w:val="0"/>
          <w:numId w:val="3"/>
        </w:numPr>
        <w:spacing w:before="219" w:line="600" w:lineRule="exact"/>
        <w:ind w:left="662"/>
        <w:rPr>
          <w:rFonts w:hint="eastAsia" w:asciiTheme="minorEastAsia" w:hAnsiTheme="minorEastAsia" w:eastAsiaTheme="minorEastAsia" w:cstheme="minorEastAsia"/>
          <w:spacing w:val="7"/>
          <w:position w:val="21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7"/>
          <w:position w:val="21"/>
          <w:sz w:val="32"/>
          <w:szCs w:val="32"/>
        </w:rPr>
        <w:t>国有资本经营预算支出情况</w:t>
      </w:r>
    </w:p>
    <w:p>
      <w:pPr>
        <w:spacing w:line="560" w:lineRule="exact"/>
        <w:ind w:firstLine="640" w:firstLineChars="200"/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2023年华容县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镇中心卫院没有国有资本经营预算财政拨款项目收入和支出。</w:t>
      </w:r>
    </w:p>
    <w:p>
      <w:pPr>
        <w:numPr>
          <w:ilvl w:val="0"/>
          <w:numId w:val="3"/>
        </w:numPr>
        <w:spacing w:line="227" w:lineRule="auto"/>
        <w:ind w:left="662" w:leftChars="0" w:firstLine="0" w:firstLineChars="0"/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  <w:t>社会保险基金预算支出情况</w:t>
      </w:r>
    </w:p>
    <w:p>
      <w:pPr>
        <w:spacing w:line="560" w:lineRule="exact"/>
        <w:ind w:firstLine="640" w:firstLineChars="200"/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2023年华容县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镇中心卫院没有社会保险基金预算财政拨款项目收入和支出。</w:t>
      </w:r>
    </w:p>
    <w:p>
      <w:pPr>
        <w:adjustRightInd w:val="0"/>
        <w:snapToGrid w:val="0"/>
        <w:spacing w:line="600" w:lineRule="exact"/>
        <w:ind w:left="17" w:leftChars="8" w:firstLine="749" w:firstLineChars="223"/>
        <w:jc w:val="left"/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8"/>
          <w:sz w:val="32"/>
          <w:szCs w:val="32"/>
        </w:rPr>
        <w:t>六、部门整体支出绩效情况</w:t>
      </w:r>
    </w:p>
    <w:p>
      <w:pPr>
        <w:adjustRightInd w:val="0"/>
        <w:snapToGrid w:val="0"/>
        <w:spacing w:line="600" w:lineRule="exact"/>
        <w:ind w:left="17" w:leftChars="8" w:firstLine="716" w:firstLineChars="223"/>
        <w:jc w:val="left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1.部门整体收支情况：</w:t>
      </w:r>
    </w:p>
    <w:p>
      <w:pPr>
        <w:adjustRightInd w:val="0"/>
        <w:snapToGrid w:val="0"/>
        <w:spacing w:line="600" w:lineRule="atLeast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28"/>
        </w:rPr>
      </w:pPr>
      <w:r>
        <w:rPr>
          <w:rFonts w:hint="eastAsia" w:asciiTheme="minorEastAsia" w:hAnsiTheme="minorEastAsia" w:eastAsiaTheme="minorEastAsia" w:cstheme="minorEastAsia"/>
          <w:sz w:val="32"/>
          <w:szCs w:val="28"/>
        </w:rPr>
        <w:t>（1）收入情况：全年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收入合计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1139.77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28"/>
          <w:lang w:val="en-US" w:eastAsia="zh-CN"/>
        </w:rPr>
        <w:t>万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元，其中：一般公共预算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财政拨款收入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602.33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事业收入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511.65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万元，其他收入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25.79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。</w:t>
      </w:r>
    </w:p>
    <w:p>
      <w:pPr>
        <w:adjustRightInd w:val="0"/>
        <w:snapToGrid w:val="0"/>
        <w:spacing w:line="600" w:lineRule="atLeast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28"/>
        </w:rPr>
        <w:t>（2）支出情况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全年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支出合计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1139.77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万元，其中：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基本支出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1030.05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万元（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工资福利支出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580.67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；商品和服务支出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449.38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。</w:t>
      </w:r>
    </w:p>
    <w:p>
      <w:pPr>
        <w:adjustRightInd w:val="0"/>
        <w:snapToGrid w:val="0"/>
        <w:spacing w:line="600" w:lineRule="atLeast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28"/>
          <w:lang w:val="en-US"/>
        </w:rPr>
      </w:pPr>
      <w:r>
        <w:rPr>
          <w:rFonts w:hint="eastAsia" w:asciiTheme="minorEastAsia" w:hAnsiTheme="minorEastAsia" w:eastAsiaTheme="minorEastAsia" w:cstheme="minorEastAsia"/>
          <w:sz w:val="32"/>
          <w:szCs w:val="28"/>
        </w:rPr>
        <w:t>项目支出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109.71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万元，主要是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商品和服务支出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109.71万元.</w:t>
      </w:r>
    </w:p>
    <w:p>
      <w:pPr>
        <w:adjustRightInd w:val="0"/>
        <w:snapToGrid w:val="0"/>
        <w:spacing w:line="600" w:lineRule="exact"/>
        <w:ind w:firstLine="421" w:firstLineChars="131"/>
        <w:jc w:val="left"/>
        <w:rPr>
          <w:rFonts w:hint="eastAsia" w:asciiTheme="minorEastAsia" w:hAnsiTheme="minorEastAsia" w:eastAsiaTheme="minorEastAsia" w:cstheme="minorEastAsia"/>
          <w:color w:val="000000"/>
          <w:sz w:val="32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2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三公经费支出情况：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年部门预算安排“三公”经费”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万元，实际支出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万元。其中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公务用车运行维护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0万元，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公务接待费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万元。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jc w:val="both"/>
        <w:textAlignment w:val="auto"/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3.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  <w:lang w:val="en-US" w:eastAsia="zh-CN"/>
        </w:rPr>
        <w:t>政府性基金预算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财政拨款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  <w:lang w:eastAsia="zh-CN"/>
        </w:rPr>
        <w:t>项目支出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情况：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2023</w:t>
      </w:r>
      <w:r>
        <w:rPr>
          <w:rFonts w:hint="eastAsia" w:asciiTheme="minorEastAsia" w:hAnsiTheme="minorEastAsia" w:eastAsiaTheme="minorEastAsia" w:cstheme="minorEastAsia"/>
          <w:sz w:val="32"/>
          <w:szCs w:val="32"/>
        </w:rPr>
        <w:t>年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镇中心卫院没有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政府性基金预算</w:t>
      </w:r>
      <w:r>
        <w:rPr>
          <w:rFonts w:hint="eastAsia" w:asciiTheme="minorEastAsia" w:hAnsiTheme="minorEastAsia" w:eastAsiaTheme="minorEastAsia" w:cstheme="minorEastAsia"/>
          <w:sz w:val="32"/>
          <w:szCs w:val="28"/>
        </w:rPr>
        <w:t>财政拨款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eastAsia="zh-CN"/>
        </w:rPr>
        <w:t>项目收入和支出</w:t>
      </w:r>
      <w:r>
        <w:rPr>
          <w:rFonts w:hint="eastAsia" w:asciiTheme="minorEastAsia" w:hAnsiTheme="minorEastAsia" w:eastAsiaTheme="minorEastAsia" w:cstheme="minorEastAsia"/>
          <w:sz w:val="32"/>
          <w:szCs w:val="28"/>
          <w:lang w:val="en-US" w:eastAsia="zh-CN"/>
        </w:rPr>
        <w:t>。</w:t>
      </w:r>
    </w:p>
    <w:p>
      <w:pPr>
        <w:pStyle w:val="2"/>
        <w:numPr>
          <w:ilvl w:val="0"/>
          <w:numId w:val="0"/>
        </w:numPr>
        <w:rPr>
          <w:rFonts w:hint="eastAsia" w:eastAsia="宋体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 xml:space="preserve">  4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  <w:lang w:eastAsia="zh-CN"/>
        </w:rPr>
        <w:t>部门整体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28"/>
          <w:lang w:val="en-US" w:eastAsia="zh-CN"/>
        </w:rPr>
        <w:t>绩效目标完成情况</w:t>
      </w:r>
      <w:r>
        <w:rPr>
          <w:rFonts w:hint="eastAsia" w:asciiTheme="minorEastAsia" w:hAnsiTheme="minorEastAsia" w:eastAsiaTheme="minorEastAsia" w:cstheme="minorEastAsia"/>
          <w:b/>
          <w:bCs/>
          <w:sz w:val="36"/>
          <w:szCs w:val="32"/>
          <w:lang w:val="en-US" w:eastAsia="zh-CN"/>
        </w:rPr>
        <w:t>：</w:t>
      </w:r>
      <w:r>
        <w:rPr>
          <w:rFonts w:hint="eastAsia" w:asciiTheme="minorEastAsia" w:hAnsiTheme="minorEastAsia" w:eastAsiaTheme="minorEastAsia" w:cstheme="minorEastAsia"/>
          <w:color w:val="auto"/>
          <w:sz w:val="36"/>
          <w:szCs w:val="36"/>
          <w:lang w:val="en-US" w:eastAsia="zh-CN"/>
        </w:rPr>
        <w:t>2023年</w:t>
      </w:r>
      <w:r>
        <w:rPr>
          <w:rFonts w:hint="eastAsia" w:eastAsia="宋体"/>
          <w:sz w:val="32"/>
          <w:szCs w:val="32"/>
          <w:lang w:eastAsia="zh-CN"/>
        </w:rPr>
        <w:t>全镇</w:t>
      </w:r>
      <w:r>
        <w:rPr>
          <w:rFonts w:hint="eastAsia" w:asciiTheme="minorEastAsia" w:hAnsiTheme="minorEastAsia" w:eastAsiaTheme="minorEastAsia" w:cstheme="minorEastAsia"/>
          <w:color w:val="auto"/>
          <w:sz w:val="36"/>
          <w:szCs w:val="36"/>
          <w:lang w:val="en-US" w:eastAsia="zh-CN"/>
        </w:rPr>
        <w:t>规范化居民电子健康档案已完成22533份，建档率达95.5%；</w:t>
      </w:r>
      <w:r>
        <w:rPr>
          <w:rFonts w:hint="eastAsia" w:eastAsia="宋体"/>
          <w:sz w:val="32"/>
          <w:szCs w:val="32"/>
          <w:lang w:eastAsia="zh-CN"/>
        </w:rPr>
        <w:t>全镇共建立居民电子健康档案</w:t>
      </w:r>
      <w:r>
        <w:rPr>
          <w:rFonts w:hint="eastAsia" w:eastAsia="宋体"/>
          <w:sz w:val="32"/>
          <w:szCs w:val="32"/>
          <w:lang w:val="en-US" w:eastAsia="zh-CN"/>
        </w:rPr>
        <w:t>22600</w:t>
      </w:r>
      <w:r>
        <w:rPr>
          <w:rFonts w:hint="eastAsia" w:eastAsia="宋体"/>
          <w:sz w:val="32"/>
          <w:szCs w:val="32"/>
          <w:lang w:eastAsia="zh-CN"/>
        </w:rPr>
        <w:t>份，其中高血压管理档案</w:t>
      </w:r>
      <w:r>
        <w:rPr>
          <w:rFonts w:hint="eastAsia" w:eastAsia="宋体"/>
          <w:sz w:val="32"/>
          <w:szCs w:val="32"/>
          <w:lang w:val="en-US" w:eastAsia="zh-CN"/>
        </w:rPr>
        <w:t>2474</w:t>
      </w:r>
      <w:r>
        <w:rPr>
          <w:rFonts w:hint="eastAsia" w:eastAsia="宋体"/>
          <w:sz w:val="32"/>
          <w:szCs w:val="32"/>
          <w:lang w:eastAsia="zh-CN"/>
        </w:rPr>
        <w:t>份:糖尿病管理档案份</w:t>
      </w:r>
      <w:r>
        <w:rPr>
          <w:rFonts w:hint="eastAsia" w:eastAsia="宋体"/>
          <w:sz w:val="32"/>
          <w:szCs w:val="32"/>
          <w:lang w:val="en-US" w:eastAsia="zh-CN"/>
        </w:rPr>
        <w:t>708</w:t>
      </w:r>
      <w:r>
        <w:rPr>
          <w:rFonts w:hint="eastAsia" w:eastAsia="宋体"/>
          <w:sz w:val="32"/>
          <w:szCs w:val="32"/>
          <w:lang w:eastAsia="zh-CN"/>
        </w:rPr>
        <w:t>:儿童保健管理档案</w:t>
      </w:r>
      <w:r>
        <w:rPr>
          <w:rFonts w:hint="eastAsia" w:eastAsia="宋体"/>
          <w:sz w:val="32"/>
          <w:szCs w:val="32"/>
          <w:lang w:val="en-US" w:eastAsia="zh-CN"/>
        </w:rPr>
        <w:t>1117</w:t>
      </w:r>
      <w:r>
        <w:rPr>
          <w:rFonts w:hint="eastAsia" w:eastAsia="宋体"/>
          <w:sz w:val="32"/>
          <w:szCs w:val="32"/>
          <w:lang w:eastAsia="zh-CN"/>
        </w:rPr>
        <w:t>份:孕产妇管理档案</w:t>
      </w:r>
      <w:r>
        <w:rPr>
          <w:rFonts w:hint="eastAsia" w:eastAsia="宋体"/>
          <w:sz w:val="32"/>
          <w:szCs w:val="32"/>
          <w:lang w:val="en-US" w:eastAsia="zh-CN"/>
        </w:rPr>
        <w:t>165</w:t>
      </w:r>
      <w:r>
        <w:rPr>
          <w:rFonts w:hint="eastAsia" w:eastAsia="宋体"/>
          <w:sz w:val="32"/>
          <w:szCs w:val="32"/>
          <w:lang w:eastAsia="zh-CN"/>
        </w:rPr>
        <w:t>份:重性精神疾病管理档案133份老年人管理档案</w:t>
      </w:r>
      <w:r>
        <w:rPr>
          <w:rFonts w:hint="eastAsia" w:eastAsia="宋体"/>
          <w:sz w:val="32"/>
          <w:szCs w:val="32"/>
          <w:lang w:val="en-US" w:eastAsia="zh-CN"/>
        </w:rPr>
        <w:t>3924</w:t>
      </w:r>
      <w:r>
        <w:rPr>
          <w:rFonts w:hint="eastAsia" w:eastAsia="宋体"/>
          <w:sz w:val="32"/>
          <w:szCs w:val="32"/>
          <w:lang w:eastAsia="zh-CN"/>
        </w:rPr>
        <w:t>份。截止目前，健康档案(电子版)规范使用率达到98%.举办各类健康教育知识讲座12场，共49</w:t>
      </w:r>
      <w:r>
        <w:rPr>
          <w:rFonts w:hint="eastAsia" w:eastAsia="宋体"/>
          <w:sz w:val="32"/>
          <w:szCs w:val="32"/>
          <w:lang w:val="en-US" w:eastAsia="zh-CN"/>
        </w:rPr>
        <w:t>1</w:t>
      </w:r>
      <w:r>
        <w:rPr>
          <w:rFonts w:hint="eastAsia" w:eastAsia="宋体"/>
          <w:sz w:val="32"/>
          <w:szCs w:val="32"/>
          <w:lang w:eastAsia="zh-CN"/>
        </w:rPr>
        <w:t>人参加，在街道市场及学校、人口聚集地进行健康教育宣传咨询活动9次，共4</w:t>
      </w:r>
      <w:r>
        <w:rPr>
          <w:rFonts w:hint="eastAsia" w:eastAsia="宋体"/>
          <w:sz w:val="32"/>
          <w:szCs w:val="32"/>
          <w:lang w:val="en-US" w:eastAsia="zh-CN"/>
        </w:rPr>
        <w:t>06</w:t>
      </w:r>
      <w:r>
        <w:rPr>
          <w:rFonts w:hint="eastAsia" w:eastAsia="宋体"/>
          <w:sz w:val="32"/>
          <w:szCs w:val="32"/>
          <w:lang w:eastAsia="zh-CN"/>
        </w:rPr>
        <w:t>人参加，开展健康教育宣传12次，共发放宣</w:t>
      </w:r>
      <w:r>
        <w:rPr>
          <w:rFonts w:hint="eastAsia" w:eastAsia="宋体"/>
          <w:sz w:val="28"/>
          <w:szCs w:val="28"/>
          <w:lang w:eastAsia="zh-CN"/>
        </w:rPr>
        <w:t>传资料10000余份，全镇共办健康教育专栏6期。适龄儿童应建立预防接种</w:t>
      </w:r>
      <w:r>
        <w:rPr>
          <w:rFonts w:hint="eastAsia" w:eastAsia="宋体"/>
          <w:sz w:val="28"/>
          <w:szCs w:val="28"/>
          <w:lang w:val="en-US" w:eastAsia="zh-CN"/>
        </w:rPr>
        <w:t>2004</w:t>
      </w:r>
      <w:r>
        <w:rPr>
          <w:rFonts w:hint="eastAsia" w:eastAsia="宋体"/>
          <w:sz w:val="28"/>
          <w:szCs w:val="28"/>
          <w:lang w:eastAsia="zh-CN"/>
        </w:rPr>
        <w:t>人次，建立预防接种证</w:t>
      </w:r>
      <w:r>
        <w:rPr>
          <w:rFonts w:hint="eastAsia" w:eastAsia="宋体"/>
          <w:sz w:val="28"/>
          <w:szCs w:val="28"/>
          <w:lang w:val="en-US" w:eastAsia="zh-CN"/>
        </w:rPr>
        <w:t>97</w:t>
      </w:r>
      <w:r>
        <w:rPr>
          <w:rFonts w:hint="eastAsia" w:eastAsia="宋体"/>
          <w:sz w:val="28"/>
          <w:szCs w:val="28"/>
          <w:lang w:eastAsia="zh-CN"/>
        </w:rPr>
        <w:t>人次，免费接种乙肝疫苗、卡介苗、脊灰疫苗、百白破疫苗、麻疹类疫苗(麻风、麻腮风)、甲肝疫苗、流脑苗、乙脑疫苗、白破二联等国家免疫规划疫苗，共接种</w:t>
      </w:r>
      <w:r>
        <w:rPr>
          <w:rFonts w:hint="eastAsia" w:eastAsia="宋体"/>
          <w:sz w:val="28"/>
          <w:szCs w:val="28"/>
          <w:lang w:val="en-US" w:eastAsia="zh-CN"/>
        </w:rPr>
        <w:t>6747</w:t>
      </w:r>
      <w:r>
        <w:rPr>
          <w:rFonts w:hint="eastAsia" w:eastAsia="宋体"/>
          <w:sz w:val="28"/>
          <w:szCs w:val="28"/>
          <w:lang w:eastAsia="zh-CN"/>
        </w:rPr>
        <w:t>多人次，在接种过程中，未出现过异常反应，对辖区内计划免疫疫苗预防疾病进行主动监测，本年度无病发生。</w:t>
      </w:r>
      <w:r>
        <w:rPr>
          <w:rFonts w:hint="eastAsia" w:eastAsia="宋体"/>
          <w:sz w:val="32"/>
          <w:szCs w:val="32"/>
          <w:lang w:eastAsia="zh-CN"/>
        </w:rPr>
        <w:t>6岁以下儿童保健管</w:t>
      </w:r>
      <w:r>
        <w:rPr>
          <w:rFonts w:hint="eastAsia" w:eastAsia="宋体"/>
          <w:sz w:val="28"/>
          <w:szCs w:val="28"/>
          <w:lang w:eastAsia="zh-CN"/>
        </w:rPr>
        <w:t>理情况:202</w:t>
      </w:r>
      <w:r>
        <w:rPr>
          <w:rFonts w:hint="eastAsia" w:eastAsia="宋体"/>
          <w:sz w:val="28"/>
          <w:szCs w:val="28"/>
          <w:lang w:val="en-US" w:eastAsia="zh-CN"/>
        </w:rPr>
        <w:t>3</w:t>
      </w:r>
      <w:r>
        <w:rPr>
          <w:rFonts w:hint="eastAsia" w:eastAsia="宋体"/>
          <w:sz w:val="28"/>
          <w:szCs w:val="28"/>
          <w:lang w:eastAsia="zh-CN"/>
        </w:rPr>
        <w:t>年我乡0-6岁儿童</w:t>
      </w:r>
      <w:r>
        <w:rPr>
          <w:rFonts w:hint="eastAsia" w:eastAsia="宋体"/>
          <w:sz w:val="28"/>
          <w:szCs w:val="28"/>
          <w:lang w:val="en-US" w:eastAsia="zh-CN"/>
        </w:rPr>
        <w:t>1117</w:t>
      </w:r>
      <w:r>
        <w:rPr>
          <w:rFonts w:hint="eastAsia" w:eastAsia="宋体"/>
          <w:sz w:val="28"/>
          <w:szCs w:val="28"/>
          <w:lang w:eastAsia="zh-CN"/>
        </w:rPr>
        <w:t>人，保健管理</w:t>
      </w:r>
      <w:r>
        <w:rPr>
          <w:rFonts w:hint="eastAsia" w:eastAsia="宋体"/>
          <w:sz w:val="28"/>
          <w:szCs w:val="28"/>
          <w:lang w:val="en-US" w:eastAsia="zh-CN"/>
        </w:rPr>
        <w:t>1106</w:t>
      </w:r>
      <w:r>
        <w:rPr>
          <w:rFonts w:hint="eastAsia" w:eastAsia="宋体"/>
          <w:sz w:val="28"/>
          <w:szCs w:val="28"/>
          <w:lang w:eastAsia="zh-CN"/>
        </w:rPr>
        <w:t>人，保健管理率99%.2、对查出的所有疾病进行了治疗，无体弱儿。今年我乡共新增孕产妇</w:t>
      </w:r>
      <w:r>
        <w:rPr>
          <w:rFonts w:hint="eastAsia" w:eastAsia="宋体"/>
          <w:sz w:val="28"/>
          <w:szCs w:val="28"/>
          <w:lang w:val="en-US" w:eastAsia="zh-CN"/>
        </w:rPr>
        <w:t>165</w:t>
      </w:r>
      <w:r>
        <w:rPr>
          <w:rFonts w:hint="eastAsia" w:eastAsia="宋体"/>
          <w:sz w:val="28"/>
          <w:szCs w:val="28"/>
          <w:lang w:eastAsia="zh-CN"/>
        </w:rPr>
        <w:t>人，孕产妇系统管理1</w:t>
      </w:r>
      <w:r>
        <w:rPr>
          <w:rFonts w:hint="eastAsia" w:eastAsia="宋体"/>
          <w:sz w:val="28"/>
          <w:szCs w:val="28"/>
          <w:lang w:val="en-US" w:eastAsia="zh-CN"/>
        </w:rPr>
        <w:t>65</w:t>
      </w:r>
      <w:r>
        <w:rPr>
          <w:rFonts w:hint="eastAsia" w:eastAsia="宋体"/>
          <w:sz w:val="28"/>
          <w:szCs w:val="28"/>
          <w:lang w:eastAsia="zh-CN"/>
        </w:rPr>
        <w:t>人，系统管理率100%:产后访视1</w:t>
      </w:r>
      <w:r>
        <w:rPr>
          <w:rFonts w:hint="eastAsia" w:eastAsia="宋体"/>
          <w:sz w:val="28"/>
          <w:szCs w:val="28"/>
          <w:lang w:val="en-US" w:eastAsia="zh-CN"/>
        </w:rPr>
        <w:t>65</w:t>
      </w:r>
      <w:r>
        <w:rPr>
          <w:rFonts w:hint="eastAsia" w:eastAsia="宋体"/>
          <w:sz w:val="28"/>
          <w:szCs w:val="28"/>
          <w:lang w:eastAsia="zh-CN"/>
        </w:rPr>
        <w:t>人。已经免费为</w:t>
      </w:r>
      <w:r>
        <w:rPr>
          <w:rFonts w:hint="eastAsia" w:eastAsia="宋体"/>
          <w:sz w:val="28"/>
          <w:szCs w:val="28"/>
          <w:lang w:val="en-US" w:eastAsia="zh-CN"/>
        </w:rPr>
        <w:t>2882</w:t>
      </w:r>
      <w:r>
        <w:rPr>
          <w:rFonts w:hint="eastAsia" w:eastAsia="宋体"/>
          <w:sz w:val="28"/>
          <w:szCs w:val="28"/>
          <w:lang w:eastAsia="zh-CN"/>
        </w:rPr>
        <w:t>位老年人进行体检。此次体检除一般体格检查外，还积极开展血常规、肝功能、空腹血糖等辅助检查。对查出的高血压、糖尿病纳入慢性病规范管理，对查出的结石、占位等异常情况转诊到上级医疗单位进行确诊、治疗。慢性病管理，主要是针对高血压、糖尿病等慢性病高危人群进行健康指导。对35岁以上人群实行门诊首诊测血压。对确诊高血压和糖尿病的患者提供随机血糖监测，并针对辖区慢性病人群开展连续科学的健康评估、干预措施等，并对他们进行体格检查及用药、饮食、运动、心理等健康指导。我辖区共管理高血压惠者2</w:t>
      </w:r>
      <w:r>
        <w:rPr>
          <w:rFonts w:hint="eastAsia" w:eastAsia="宋体"/>
          <w:sz w:val="28"/>
          <w:szCs w:val="28"/>
          <w:lang w:val="en-US" w:eastAsia="zh-CN"/>
        </w:rPr>
        <w:t>074</w:t>
      </w:r>
      <w:r>
        <w:rPr>
          <w:rFonts w:hint="eastAsia" w:eastAsia="宋体"/>
          <w:sz w:val="28"/>
          <w:szCs w:val="28"/>
          <w:lang w:eastAsia="zh-CN"/>
        </w:rPr>
        <w:t>例、糖尿病患者6</w:t>
      </w:r>
      <w:r>
        <w:rPr>
          <w:rFonts w:hint="eastAsia" w:eastAsia="宋体"/>
          <w:sz w:val="28"/>
          <w:szCs w:val="28"/>
          <w:lang w:val="en-US" w:eastAsia="zh-CN"/>
        </w:rPr>
        <w:t>34</w:t>
      </w:r>
      <w:r>
        <w:rPr>
          <w:rFonts w:hint="eastAsia" w:eastAsia="宋体"/>
          <w:sz w:val="28"/>
          <w:szCs w:val="28"/>
          <w:lang w:eastAsia="zh-CN"/>
        </w:rPr>
        <w:t>例，并按照规范对高血压、糖尿病患者进行了随访高血压随访</w:t>
      </w:r>
      <w:r>
        <w:rPr>
          <w:rFonts w:hint="eastAsia" w:eastAsia="宋体"/>
          <w:sz w:val="28"/>
          <w:szCs w:val="28"/>
          <w:lang w:val="en-US" w:eastAsia="zh-CN"/>
        </w:rPr>
        <w:t>2205</w:t>
      </w:r>
      <w:r>
        <w:rPr>
          <w:rFonts w:hint="eastAsia" w:eastAsia="宋体"/>
          <w:sz w:val="28"/>
          <w:szCs w:val="28"/>
          <w:lang w:eastAsia="zh-CN"/>
        </w:rPr>
        <w:t>人次、随访率为</w:t>
      </w:r>
      <w:r>
        <w:rPr>
          <w:rFonts w:hint="eastAsia" w:eastAsia="宋体"/>
          <w:sz w:val="28"/>
          <w:szCs w:val="28"/>
          <w:lang w:val="en-US" w:eastAsia="zh-CN"/>
        </w:rPr>
        <w:t>89</w:t>
      </w:r>
      <w:r>
        <w:rPr>
          <w:rFonts w:hint="eastAsia" w:eastAsia="宋体"/>
          <w:sz w:val="28"/>
          <w:szCs w:val="28"/>
          <w:lang w:eastAsia="zh-CN"/>
        </w:rPr>
        <w:t>%:糖尿病随访</w:t>
      </w:r>
      <w:r>
        <w:rPr>
          <w:rFonts w:hint="eastAsia" w:eastAsia="宋体"/>
          <w:sz w:val="28"/>
          <w:szCs w:val="28"/>
          <w:lang w:val="en-US" w:eastAsia="zh-CN"/>
        </w:rPr>
        <w:t>634</w:t>
      </w:r>
      <w:r>
        <w:rPr>
          <w:rFonts w:hint="eastAsia" w:eastAsia="宋体"/>
          <w:sz w:val="28"/>
          <w:szCs w:val="28"/>
          <w:lang w:eastAsia="zh-CN"/>
        </w:rPr>
        <w:t>人次、随访率为</w:t>
      </w:r>
      <w:r>
        <w:rPr>
          <w:rFonts w:hint="eastAsia" w:eastAsia="宋体"/>
          <w:sz w:val="28"/>
          <w:szCs w:val="28"/>
          <w:lang w:val="en-US" w:eastAsia="zh-CN"/>
        </w:rPr>
        <w:t>89</w:t>
      </w:r>
      <w:r>
        <w:rPr>
          <w:rFonts w:hint="eastAsia" w:eastAsia="宋体"/>
          <w:sz w:val="28"/>
          <w:szCs w:val="28"/>
          <w:lang w:eastAsia="zh-CN"/>
        </w:rPr>
        <w:t>%。定期对本单位人员进行传染病防治知识技能的培训:采取多种形式对辖区居民进行传染病防治知识的宣传教育，提高了辖区居民传染病知识的知晓率。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ind w:firstLine="64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全乡家庭医生团队6个累计签约人数18865人，通过“卫宁家医平台”实现了应签尽签，签约率100%；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atLeast"/>
        <w:jc w:val="both"/>
        <w:textAlignment w:val="auto"/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4"/>
        </w:numPr>
        <w:spacing w:line="620" w:lineRule="exact"/>
        <w:ind w:firstLine="679" w:firstLineChars="200"/>
        <w:rPr>
          <w:rFonts w:hint="eastAsia" w:asciiTheme="minorEastAsia" w:hAnsiTheme="minorEastAsia" w:eastAsiaTheme="minorEastAsia" w:cstheme="minorEastAsia"/>
          <w:b/>
          <w:bCs/>
          <w:spacing w:val="9"/>
          <w:position w:val="21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pacing w:val="9"/>
          <w:position w:val="21"/>
          <w:sz w:val="32"/>
          <w:szCs w:val="32"/>
        </w:rPr>
        <w:t>存在的问题及原因分析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auto"/>
          <w:sz w:val="32"/>
          <w:szCs w:val="32"/>
          <w:lang w:val="en-US" w:eastAsia="zh-CN"/>
        </w:rPr>
        <w:t>预算编制有待更严格执行。预算编制与实际支出项目有的存在差异。有些工作未能找到适当的量化方式，对绩效管理量化评价方面略显不足。通过县财政局组织的预算绩效管理培训，逐步找到适合的方法对本单位的工作进行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合理的分类量化，以便适应将来的预算绩效管理工作。</w:t>
      </w:r>
    </w:p>
    <w:p>
      <w:pPr>
        <w:numPr>
          <w:ilvl w:val="0"/>
          <w:numId w:val="4"/>
        </w:numPr>
        <w:spacing w:line="227" w:lineRule="auto"/>
        <w:ind w:left="0" w:leftChars="0" w:firstLine="675" w:firstLineChars="200"/>
        <w:rPr>
          <w:rFonts w:hint="eastAsia" w:asciiTheme="minorEastAsia" w:hAnsiTheme="minorEastAsia" w:eastAsiaTheme="minorEastAsia" w:cstheme="minorEastAsia"/>
          <w:b/>
          <w:bCs/>
          <w:spacing w:val="8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pacing w:val="8"/>
          <w:sz w:val="32"/>
          <w:szCs w:val="32"/>
        </w:rPr>
        <w:t>下一步改进措施</w:t>
      </w:r>
    </w:p>
    <w:p>
      <w:pPr>
        <w:numPr>
          <w:ilvl w:val="0"/>
          <w:numId w:val="5"/>
        </w:numPr>
        <w:spacing w:line="227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加强医院医疗文化建设在医德、医风、医法等多方面进行学习与整改。</w:t>
      </w:r>
    </w:p>
    <w:p>
      <w:pPr>
        <w:numPr>
          <w:ilvl w:val="0"/>
          <w:numId w:val="5"/>
        </w:numPr>
        <w:spacing w:line="227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加强医护人员专业技术的礼仪规范培训和监督，提升医疗服务质量的老百姓的满意度。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3、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加强对</w:t>
      </w:r>
      <w:r>
        <w:rPr>
          <w:rFonts w:hint="eastAsia" w:asciiTheme="minorEastAsia" w:hAnsiTheme="minorEastAsia" w:eastAsiaTheme="minorEastAsia" w:cstheme="minorEastAsia"/>
          <w:sz w:val="32"/>
          <w:szCs w:val="32"/>
        </w:rPr>
        <w:t>卫生院基础设施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及</w:t>
      </w:r>
      <w:r>
        <w:rPr>
          <w:rFonts w:hint="eastAsia" w:asciiTheme="minorEastAsia" w:hAnsiTheme="minorEastAsia" w:eastAsiaTheme="minorEastAsia" w:cstheme="minorEastAsia"/>
          <w:sz w:val="32"/>
          <w:szCs w:val="32"/>
        </w:rPr>
        <w:t>能力建设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hint="eastAsia" w:asciiTheme="minorEastAsia" w:hAnsiTheme="minorEastAsia" w:eastAsiaTheme="minorEastAsia" w:cstheme="minorEastAsia"/>
          <w:bCs/>
          <w:sz w:val="32"/>
          <w:szCs w:val="32"/>
        </w:rPr>
        <w:t>。</w:t>
      </w:r>
    </w:p>
    <w:p>
      <w:pPr>
        <w:spacing w:before="219" w:line="600" w:lineRule="exact"/>
        <w:ind w:left="650"/>
        <w:rPr>
          <w:rFonts w:hint="eastAsia" w:asciiTheme="minorEastAsia" w:hAnsiTheme="minorEastAsia" w:eastAsiaTheme="minorEastAsia" w:cstheme="minorEastAsia"/>
          <w:b/>
          <w:bCs/>
          <w:spacing w:val="8"/>
          <w:position w:val="21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Theme="minorEastAsia" w:hAnsiTheme="minorEastAsia" w:eastAsiaTheme="minorEastAsia" w:cstheme="minorEastAsia"/>
          <w:b/>
          <w:bCs/>
          <w:spacing w:val="8"/>
          <w:position w:val="21"/>
          <w:sz w:val="32"/>
          <w:szCs w:val="32"/>
        </w:rPr>
        <w:t>情况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Theme="minorEastAsia" w:hAnsiTheme="minorEastAsia" w:eastAsiaTheme="minorEastAsia" w:cstheme="minorEastAsia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根据考核评分细则，按照部门整体支出绩效评价指标体系对照，打分得出我院自评结果为9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分，等级为优秀。考评认为华容县</w:t>
      </w:r>
      <w:r>
        <w:rPr>
          <w:rFonts w:hint="eastAsia" w:asciiTheme="minorEastAsia" w:hAnsiTheme="minorEastAsia" w:eastAsiaTheme="minorEastAsia" w:cstheme="minorEastAsia"/>
          <w:color w:val="auto"/>
          <w:sz w:val="32"/>
          <w:lang w:eastAsia="zh-CN"/>
        </w:rPr>
        <w:t>东山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镇中心卫生院20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23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年整体支出，我院严格执行《国家基本公共卫生服务规范》为辖区内群众提供基本公共卫生服务，并认真执行财务制度，加强资金管理。严抓基本公共卫生服务项目工作，充分调动全院职工及辖区内乡村医生的工作积极性和主动性。始终把医疗质量与医疗安全放在首位，不断强化医疗质量管理，合理应用抗菌药物，提高医疗服务水平，为辖区群众提供优质、便捷、安全的医疗卫生服务。我院将在规定时间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将考评结果在单位门户网与政务网上</w:t>
      </w:r>
      <w:r>
        <w:rPr>
          <w:rFonts w:hint="eastAsia" w:asciiTheme="minorEastAsia" w:hAnsiTheme="minorEastAsia" w:eastAsiaTheme="minorEastAsia" w:cstheme="minorEastAsia"/>
          <w:sz w:val="32"/>
          <w:szCs w:val="32"/>
          <w:shd w:val="clear" w:color="auto" w:fill="FFFFFF"/>
          <w:lang w:val="en-US" w:eastAsia="zh-CN"/>
        </w:rPr>
        <w:t>进行公开。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Theme="minorEastAsia" w:hAnsiTheme="minorEastAsia" w:eastAsiaTheme="minorEastAsia" w:cstheme="minorEastAsia"/>
          <w:sz w:val="32"/>
          <w:szCs w:val="32"/>
          <w:shd w:val="clear" w:color="auto" w:fill="FFFFFF"/>
          <w:lang w:val="en-US" w:eastAsia="zh-CN"/>
        </w:rPr>
      </w:pPr>
    </w:p>
    <w:p>
      <w:pPr>
        <w:spacing w:line="226" w:lineRule="auto"/>
        <w:ind w:left="647"/>
        <w:rPr>
          <w:rFonts w:hint="eastAsia" w:asciiTheme="minorEastAsia" w:hAnsiTheme="minorEastAsia" w:eastAsiaTheme="minorEastAsia" w:cstheme="minorEastAsia"/>
          <w:b/>
          <w:bCs/>
          <w:spacing w:val="-3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/>
          <w:spacing w:val="-3"/>
          <w:sz w:val="32"/>
          <w:szCs w:val="32"/>
        </w:rPr>
        <w:t>十、其他需要说明的情况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无</w:t>
      </w: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6904CB9-CA90-40B7-9130-3F3461027CB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ECB01D1-B1A1-4770-BDE1-98C201E0176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43AB4DAC-584B-448B-8B3B-57F0CEB62CD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93D711B-4B50-4761-861C-3871BC1FC3A1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5" w:fontKey="{DE218B5B-AC48-4175-85DE-7FEB5E398A5A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FDE2D09-E2C1-471F-A172-9209CE1D847E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8CD45BFB-89D8-4AA6-8501-B4029E71CEF6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38918A4F-C7E3-4FBB-A386-A29A9192470A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9" w:fontKey="{5B63DF0C-0FE2-4CA4-8C55-DE6E37B1B376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00000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  <w:embedRegular r:id="rId10" w:fontKey="{6FB0EF1B-88F9-41B3-966B-F380E2529636}"/>
  </w:font>
  <w:font w:name="仿宋_GB2312">
    <w:panose1 w:val="02010609030101010101"/>
    <w:charset w:val="00"/>
    <w:family w:val="auto"/>
    <w:pitch w:val="default"/>
    <w:sig w:usb0="00000000" w:usb1="00000000" w:usb2="00000000" w:usb3="00000000" w:csb0="00000000" w:csb1="00000000"/>
  </w:font>
  <w:font w:name="微软雅黑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  <w:font w:name="Lao UI">
    <w:panose1 w:val="020B0502040204020203"/>
    <w:charset w:val="00"/>
    <w:family w:val="auto"/>
    <w:pitch w:val="default"/>
    <w:sig w:usb0="00000000" w:usb1="00000000" w:usb2="00000000" w:usb3="00000000" w:csb0="00000000" w:csb1="00000000"/>
    <w:embedRegular r:id="rId11" w:fontKey="{79F180B2-51A3-4AAB-B48F-CFB375E47B58}"/>
  </w:font>
  <w:font w:name="Latha">
    <w:panose1 w:val="020B0604020202020204"/>
    <w:charset w:val="00"/>
    <w:family w:val="auto"/>
    <w:pitch w:val="default"/>
    <w:sig w:usb0="00000000" w:usb1="00000000" w:usb2="00000000" w:usb3="00000000" w:csb0="00000000" w:csb1="00000000"/>
    <w:embedRegular r:id="rId12" w:fontKey="{027D8DC8-F9F7-4FF3-80CD-AA0D7878F068}"/>
  </w:font>
  <w:font w:name="Leelawadee">
    <w:panose1 w:val="020B0502040204020203"/>
    <w:charset w:val="00"/>
    <w:family w:val="auto"/>
    <w:pitch w:val="default"/>
    <w:sig w:usb0="00000000" w:usb1="00000000" w:usb2="00000000" w:usb3="00000000" w:csb0="00000000" w:csb1="00000000"/>
    <w:embedRegular r:id="rId13" w:fontKey="{838F3375-DE46-494D-99A9-26582488165E}"/>
  </w:font>
  <w:font w:name="Levenim MT">
    <w:altName w:val="Yu Gothic UI"/>
    <w:panose1 w:val="02010502060101010101"/>
    <w:charset w:val="00"/>
    <w:family w:val="auto"/>
    <w:pitch w:val="default"/>
    <w:sig w:usb0="00000000" w:usb1="00000000" w:usb2="00000000" w:usb3="00000000" w:csb0="00000020" w:csb1="00200000"/>
  </w:font>
  <w:font w:name="LilyUPC">
    <w:panose1 w:val="020B0604020202020204"/>
    <w:charset w:val="00"/>
    <w:family w:val="auto"/>
    <w:pitch w:val="default"/>
    <w:sig w:usb0="00000000" w:usb1="00000000" w:usb2="00000000" w:usb3="00000000" w:csb0="00000000" w:csb1="00000000"/>
    <w:embedRegular r:id="rId14" w:fontKey="{41701489-4381-4BA4-9216-93D16B7C2812}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  <w:embedRegular r:id="rId15" w:fontKey="{E49E9FCE-5184-4AF7-8A98-35154151BA4F}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200000BF" w:csb1="D7F70000"/>
    <w:embedRegular r:id="rId16" w:fontKey="{A4F029C8-2DE9-4ADE-B664-CE034A022345}"/>
  </w:font>
  <w:font w:name="Mangal">
    <w:panose1 w:val="02040503050203030202"/>
    <w:charset w:val="00"/>
    <w:family w:val="auto"/>
    <w:pitch w:val="default"/>
    <w:sig w:usb0="00000000" w:usb1="00000000" w:usb2="00000000" w:usb3="00000000" w:csb0="00000000" w:csb1="00000000"/>
    <w:embedRegular r:id="rId17" w:fontKey="{3F6354A9-A089-4F52-9FEF-344A646135EA}"/>
  </w:font>
  <w:font w:name="Marlett">
    <w:panose1 w:val="00000000000000000000"/>
    <w:charset w:val="00"/>
    <w:family w:val="auto"/>
    <w:pitch w:val="default"/>
    <w:sig w:usb0="00000000" w:usb1="00000000" w:usb2="00000000" w:usb3="00000000" w:csb0="80000000" w:csb1="00000000"/>
  </w:font>
  <w:font w:name="Microsoft Himalaya">
    <w:panose1 w:val="01010100010101010101"/>
    <w:charset w:val="00"/>
    <w:family w:val="auto"/>
    <w:pitch w:val="default"/>
    <w:sig w:usb0="80000003" w:usb1="00010000" w:usb2="00000040" w:usb3="00000000" w:csb0="00000001" w:csb1="00000000"/>
    <w:embedRegular r:id="rId18" w:fontKey="{A0360679-CFA5-49A4-B7D6-EE732259540A}"/>
  </w:font>
  <w:font w:name="Microsoft New Tai Lue">
    <w:panose1 w:val="020B0502040204020203"/>
    <w:charset w:val="00"/>
    <w:family w:val="auto"/>
    <w:pitch w:val="default"/>
    <w:sig w:usb0="00000003" w:usb1="00000000" w:usb2="80000000" w:usb3="00000000" w:csb0="00000001" w:csb1="00000000"/>
    <w:embedRegular r:id="rId19" w:fontKey="{DA78A383-C68B-499E-B892-2B256A962C41}"/>
  </w:font>
  <w:font w:name="Microsoft PhagsPa">
    <w:panose1 w:val="020B0502040204020203"/>
    <w:charset w:val="00"/>
    <w:family w:val="auto"/>
    <w:pitch w:val="default"/>
    <w:sig w:usb0="00000003" w:usb1="00200000" w:usb2="08000000" w:usb3="00000000" w:csb0="00000001" w:csb1="00000000"/>
    <w:embedRegular r:id="rId20" w:fontKey="{C8B2313E-BF81-43B5-B9BF-B54B1D0C136D}"/>
  </w:font>
  <w:font w:name="Microsoft Sans Serif">
    <w:panose1 w:val="020B0604020202020204"/>
    <w:charset w:val="00"/>
    <w:family w:val="auto"/>
    <w:pitch w:val="default"/>
    <w:sig w:usb0="E5002EFF" w:usb1="C000605B" w:usb2="00000029" w:usb3="00000000" w:csb0="200101FF" w:csb1="20280000"/>
    <w:embedRegular r:id="rId21" w:fontKey="{09929D66-3FF2-4AA4-A9AE-9C002DADE50A}"/>
  </w:font>
  <w:font w:name="Microsoft Tai Le">
    <w:panose1 w:val="020B0502040204020203"/>
    <w:charset w:val="00"/>
    <w:family w:val="auto"/>
    <w:pitch w:val="default"/>
    <w:sig w:usb0="00000003" w:usb1="00000000" w:usb2="40000000" w:usb3="00000000" w:csb0="00000001" w:csb1="00000000"/>
    <w:embedRegular r:id="rId22" w:fontKey="{E39DAEEE-94B3-4581-9D5D-0AA9274319B7}"/>
  </w:font>
  <w:font w:name="Microsoft Uighur">
    <w:panose1 w:val="02000000000000000000"/>
    <w:charset w:val="00"/>
    <w:family w:val="auto"/>
    <w:pitch w:val="default"/>
    <w:sig w:usb0="00000000" w:usb1="00000000" w:usb2="00000000" w:usb3="00000000" w:csb0="00000000" w:csb1="00000000"/>
    <w:embedRegular r:id="rId23" w:fontKey="{AEAFD22C-3061-466B-8330-03EDE9D6B624}"/>
  </w:font>
  <w:font w:name="Microsoft Yi Baiti">
    <w:panose1 w:val="03000500000000000000"/>
    <w:charset w:val="00"/>
    <w:family w:val="auto"/>
    <w:pitch w:val="default"/>
    <w:sig w:usb0="80000003" w:usb1="00010402" w:usb2="00080002" w:usb3="00000000" w:csb0="00000001" w:csb1="00000000"/>
    <w:embedRegular r:id="rId24" w:fontKey="{CE8D5200-6C19-4C5A-98FF-9E04057DBEF4}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Microsoft JhengHe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rbzf8SAgAAEw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Erbzf8SAgAAEw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0476836"/>
    <w:multiLevelType w:val="singleLevel"/>
    <w:tmpl w:val="A0476836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B0176AAF"/>
    <w:multiLevelType w:val="singleLevel"/>
    <w:tmpl w:val="B0176AA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C608B431"/>
    <w:multiLevelType w:val="singleLevel"/>
    <w:tmpl w:val="C608B431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06477F6C"/>
    <w:multiLevelType w:val="singleLevel"/>
    <w:tmpl w:val="06477F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7DCE654F"/>
    <w:multiLevelType w:val="singleLevel"/>
    <w:tmpl w:val="7DCE654F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Q3ZTY2ODczNjg0NWZmNDg0MjU2MTIzZDQ3YmZhYTk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CD5ED0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183356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A31362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8D2D16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0555E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3D17C4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27B33CA"/>
    <w:rsid w:val="42F300B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8068B9"/>
    <w:rsid w:val="5BE211F7"/>
    <w:rsid w:val="5BF510BE"/>
    <w:rsid w:val="5C6C4B26"/>
    <w:rsid w:val="5D03DFF6"/>
    <w:rsid w:val="5D9C3D56"/>
    <w:rsid w:val="5DD775C7"/>
    <w:rsid w:val="5E134100"/>
    <w:rsid w:val="5EAC5057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4752B"/>
    <w:rsid w:val="62FBC294"/>
    <w:rsid w:val="62FC5AD3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3DF7F2E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856BCA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8">
    <w:name w:val="Default Paragraph Font"/>
    <w:semiHidden/>
    <w:qFormat/>
    <w:uiPriority w:val="99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a heading"/>
    <w:basedOn w:val="1"/>
    <w:next w:val="1"/>
    <w:semiHidden/>
    <w:unhideWhenUsed/>
    <w:uiPriority w:val="99"/>
    <w:pPr>
      <w:spacing w:before="120" w:after="200" w:line="276" w:lineRule="auto"/>
    </w:pPr>
    <w:rPr>
      <w:rFonts w:ascii="Arial" w:hAnsi="Arial"/>
      <w:sz w:val="24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character" w:styleId="9">
    <w:name w:val="page number"/>
    <w:basedOn w:val="8"/>
    <w:qFormat/>
    <w:uiPriority w:val="99"/>
    <w:rPr>
      <w:rFonts w:cs="Times New Roman"/>
    </w:rPr>
  </w:style>
  <w:style w:type="table" w:styleId="11">
    <w:name w:val="Table Grid"/>
    <w:basedOn w:val="10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Footer Char"/>
    <w:basedOn w:val="8"/>
    <w:link w:val="5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8"/>
    <w:link w:val="6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4" Type="http://schemas.openxmlformats.org/officeDocument/2006/relationships/font" Target="fonts/font24.odttf"/><Relationship Id="rId23" Type="http://schemas.openxmlformats.org/officeDocument/2006/relationships/font" Target="fonts/font23.odttf"/><Relationship Id="rId22" Type="http://schemas.openxmlformats.org/officeDocument/2006/relationships/font" Target="fonts/font22.odttf"/><Relationship Id="rId21" Type="http://schemas.openxmlformats.org/officeDocument/2006/relationships/font" Target="fonts/font21.odttf"/><Relationship Id="rId20" Type="http://schemas.openxmlformats.org/officeDocument/2006/relationships/font" Target="fonts/font20.odttf"/><Relationship Id="rId2" Type="http://schemas.openxmlformats.org/officeDocument/2006/relationships/font" Target="fonts/font2.odttf"/><Relationship Id="rId19" Type="http://schemas.openxmlformats.org/officeDocument/2006/relationships/font" Target="fonts/font19.odttf"/><Relationship Id="rId18" Type="http://schemas.openxmlformats.org/officeDocument/2006/relationships/font" Target="fonts/font18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10</Pages>
  <Words>4354</Words>
  <Characters>4599</Characters>
  <Lines>0</Lines>
  <Paragraphs>0</Paragraphs>
  <ScaleCrop>false</ScaleCrop>
  <LinksUpToDate>false</LinksUpToDate>
  <CharactersWithSpaces>4995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2024-05-27T06:19:08Z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B3941AA571EE43B3BD5624BE9F9EF077_13</vt:lpwstr>
  </property>
</Properties>
</file>